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224E" w14:textId="188F8F51" w:rsidR="00D05E34" w:rsidRPr="00533B44" w:rsidRDefault="006B6596" w:rsidP="006B6596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>Minimum Qualifications #3</w:t>
      </w:r>
    </w:p>
    <w:p w14:paraId="4F86B957" w14:textId="0F9DC274" w:rsidR="006B6596" w:rsidRPr="00533B44" w:rsidRDefault="00D05E34" w:rsidP="006B6596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W</w:t>
      </w:r>
      <w:r w:rsidR="006B6596" w:rsidRPr="00533B44">
        <w:rPr>
          <w:b/>
          <w:bCs/>
          <w:sz w:val="20"/>
          <w:szCs w:val="20"/>
        </w:rPr>
        <w:t>hen must eVestment data for the proposed Short Duration High Yield strategy be populated by?</w:t>
      </w:r>
    </w:p>
    <w:p w14:paraId="7E8111FF" w14:textId="77777777" w:rsidR="006B6596" w:rsidRPr="00533B44" w:rsidRDefault="006B6596" w:rsidP="006B6596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Product profile should be completed at the time of submission. Late, incomplete, out of date, or inaccurate data may negatively influence the product evaluation.</w:t>
      </w:r>
    </w:p>
    <w:p w14:paraId="63A355C8" w14:textId="77777777" w:rsidR="006B6596" w:rsidRPr="00533B44" w:rsidRDefault="006B6596" w:rsidP="003C77FD">
      <w:pPr>
        <w:rPr>
          <w:sz w:val="20"/>
          <w:szCs w:val="20"/>
        </w:rPr>
      </w:pPr>
    </w:p>
    <w:p w14:paraId="4DD6FFE9" w14:textId="1826E165" w:rsidR="00D05E34" w:rsidRPr="00533B44" w:rsidRDefault="006B6596" w:rsidP="003C77FD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>Minimum Qualifications #4</w:t>
      </w:r>
    </w:p>
    <w:p w14:paraId="7B928120" w14:textId="2AC57BAE" w:rsidR="00F5291E" w:rsidRPr="00533B44" w:rsidRDefault="00D05E34" w:rsidP="003C77FD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I</w:t>
      </w:r>
      <w:r w:rsidR="00F5291E" w:rsidRPr="00533B44">
        <w:rPr>
          <w:b/>
          <w:bCs/>
          <w:sz w:val="20"/>
          <w:szCs w:val="20"/>
        </w:rPr>
        <w:t xml:space="preserve">s there flexibility </w:t>
      </w:r>
      <w:proofErr w:type="gramStart"/>
      <w:r w:rsidR="00F5291E" w:rsidRPr="00533B44">
        <w:rPr>
          <w:b/>
          <w:bCs/>
          <w:sz w:val="20"/>
          <w:szCs w:val="20"/>
        </w:rPr>
        <w:t>with regard to</w:t>
      </w:r>
      <w:proofErr w:type="gramEnd"/>
      <w:r w:rsidR="00F5291E" w:rsidRPr="00533B44">
        <w:rPr>
          <w:b/>
          <w:bCs/>
          <w:sz w:val="20"/>
          <w:szCs w:val="20"/>
        </w:rPr>
        <w:t xml:space="preserve"> the $10 billion firm AUM threshold?</w:t>
      </w:r>
    </w:p>
    <w:p w14:paraId="013FE42F" w14:textId="52E4AF9B" w:rsidR="003C77FD" w:rsidRPr="00533B44" w:rsidRDefault="00AA3C1F" w:rsidP="003C77FD">
      <w:pPr>
        <w:rPr>
          <w:i/>
          <w:iCs/>
          <w:color w:val="00AEEF" w:themeColor="accent2"/>
          <w:sz w:val="20"/>
          <w:szCs w:val="20"/>
        </w:rPr>
      </w:pPr>
      <w:r w:rsidRPr="00533B44">
        <w:rPr>
          <w:i/>
          <w:iCs/>
          <w:sz w:val="20"/>
          <w:szCs w:val="20"/>
        </w:rPr>
        <w:t xml:space="preserve">No, qualifying firms must meet the $10 billion </w:t>
      </w:r>
      <w:r w:rsidR="00D66490" w:rsidRPr="00533B44">
        <w:rPr>
          <w:i/>
          <w:iCs/>
          <w:sz w:val="20"/>
          <w:szCs w:val="20"/>
        </w:rPr>
        <w:t>AUM minimum.</w:t>
      </w:r>
    </w:p>
    <w:p w14:paraId="5D553A49" w14:textId="6A00AF4E" w:rsidR="003C77FD" w:rsidRPr="00533B44" w:rsidRDefault="003C77FD" w:rsidP="003C77FD">
      <w:pPr>
        <w:rPr>
          <w:sz w:val="20"/>
          <w:szCs w:val="20"/>
        </w:rPr>
      </w:pPr>
    </w:p>
    <w:p w14:paraId="6E13E9A3" w14:textId="232CA10A" w:rsidR="00D05E34" w:rsidRPr="00533B44" w:rsidRDefault="006B6596" w:rsidP="008063CE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>Minimum Qualifications #5</w:t>
      </w:r>
    </w:p>
    <w:p w14:paraId="66AB9CB2" w14:textId="3DD27E14" w:rsidR="008063CE" w:rsidRPr="00533B44" w:rsidRDefault="00D05E34" w:rsidP="008063CE">
      <w:pPr>
        <w:rPr>
          <w:b/>
          <w:bCs/>
          <w:color w:val="00AEEF" w:themeColor="accent2"/>
          <w:sz w:val="20"/>
          <w:szCs w:val="20"/>
        </w:rPr>
      </w:pPr>
      <w:r w:rsidRPr="00533B44">
        <w:rPr>
          <w:b/>
          <w:bCs/>
          <w:sz w:val="20"/>
          <w:szCs w:val="20"/>
        </w:rPr>
        <w:t>C</w:t>
      </w:r>
      <w:r w:rsidR="008063CE" w:rsidRPr="00533B44">
        <w:rPr>
          <w:b/>
          <w:bCs/>
          <w:sz w:val="20"/>
          <w:szCs w:val="20"/>
        </w:rPr>
        <w:t xml:space="preserve">an high yield bonds with less than </w:t>
      </w:r>
      <w:r w:rsidR="001B138D" w:rsidRPr="00533B44">
        <w:rPr>
          <w:b/>
          <w:bCs/>
          <w:sz w:val="20"/>
          <w:szCs w:val="20"/>
        </w:rPr>
        <w:t>five</w:t>
      </w:r>
      <w:r w:rsidR="008063CE" w:rsidRPr="00533B44">
        <w:rPr>
          <w:b/>
          <w:bCs/>
          <w:sz w:val="20"/>
          <w:szCs w:val="20"/>
        </w:rPr>
        <w:t xml:space="preserve"> years </w:t>
      </w:r>
      <w:r w:rsidR="001B138D" w:rsidRPr="00533B44">
        <w:rPr>
          <w:b/>
          <w:bCs/>
          <w:sz w:val="20"/>
          <w:szCs w:val="20"/>
        </w:rPr>
        <w:t>to</w:t>
      </w:r>
      <w:r w:rsidR="008063CE" w:rsidRPr="00533B44">
        <w:rPr>
          <w:b/>
          <w:bCs/>
          <w:sz w:val="20"/>
          <w:szCs w:val="20"/>
        </w:rPr>
        <w:t xml:space="preserve"> maturity across firm strategies be counted toward the AUM requirement?</w:t>
      </w:r>
    </w:p>
    <w:p w14:paraId="60A74442" w14:textId="7261B506" w:rsidR="008063CE" w:rsidRPr="00533B44" w:rsidRDefault="008063CE" w:rsidP="008063CE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 xml:space="preserve">Candidates can meet the strategy AUM requirement through managing $1.5 billion or more across short duration high yield bonds with a remaining term to maturity of five years or less, but preference will be given to dedicated products </w:t>
      </w:r>
      <w:r w:rsidR="002C43C4" w:rsidRPr="00533B44">
        <w:rPr>
          <w:i/>
          <w:iCs/>
          <w:sz w:val="20"/>
          <w:szCs w:val="20"/>
        </w:rPr>
        <w:t>meeting the requirement.</w:t>
      </w:r>
    </w:p>
    <w:p w14:paraId="7EC0F25A" w14:textId="26F1BD0B" w:rsidR="006B6596" w:rsidRPr="00533B44" w:rsidRDefault="006B6596" w:rsidP="008063CE">
      <w:pPr>
        <w:rPr>
          <w:sz w:val="20"/>
          <w:szCs w:val="20"/>
        </w:rPr>
      </w:pPr>
    </w:p>
    <w:p w14:paraId="42DDA821" w14:textId="76C03C85" w:rsidR="00D05E34" w:rsidRPr="00533B44" w:rsidRDefault="00D05E34" w:rsidP="00D05E3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 xml:space="preserve">Would products that allow maturities longer than </w:t>
      </w:r>
      <w:r w:rsidR="002C43C4" w:rsidRPr="00533B44">
        <w:rPr>
          <w:b/>
          <w:bCs/>
          <w:sz w:val="20"/>
          <w:szCs w:val="20"/>
        </w:rPr>
        <w:t>five</w:t>
      </w:r>
      <w:r w:rsidRPr="00533B44">
        <w:rPr>
          <w:b/>
          <w:bCs/>
          <w:sz w:val="20"/>
          <w:szCs w:val="20"/>
        </w:rPr>
        <w:t xml:space="preserve"> years count towards the eligibility requirements for $1.5 billion in AUM?</w:t>
      </w:r>
    </w:p>
    <w:p w14:paraId="4C87DB2B" w14:textId="77777777" w:rsidR="00D05E34" w:rsidRPr="00533B44" w:rsidRDefault="00D05E34" w:rsidP="00D05E3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Yes. There is no stated maximum maturity for any individual security, but products should maintain a WAM of five years or less.</w:t>
      </w:r>
    </w:p>
    <w:p w14:paraId="12EFF104" w14:textId="77777777" w:rsidR="00D05E34" w:rsidRPr="00533B44" w:rsidRDefault="00D05E34" w:rsidP="00D05E34">
      <w:pPr>
        <w:rPr>
          <w:b/>
          <w:bCs/>
          <w:color w:val="00AEEF" w:themeColor="accent2"/>
          <w:sz w:val="20"/>
          <w:szCs w:val="20"/>
        </w:rPr>
      </w:pPr>
    </w:p>
    <w:p w14:paraId="19FDEB9D" w14:textId="2369ADC2" w:rsidR="00D05E34" w:rsidRPr="00533B44" w:rsidRDefault="00D05E34" w:rsidP="00D05E3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 xml:space="preserve">Would products that have an average portfolio duration of under </w:t>
      </w:r>
      <w:r w:rsidR="002C43C4" w:rsidRPr="00533B44">
        <w:rPr>
          <w:b/>
          <w:bCs/>
          <w:sz w:val="20"/>
          <w:szCs w:val="20"/>
        </w:rPr>
        <w:t>five</w:t>
      </w:r>
      <w:r w:rsidRPr="00533B44">
        <w:rPr>
          <w:b/>
          <w:bCs/>
          <w:sz w:val="20"/>
          <w:szCs w:val="20"/>
        </w:rPr>
        <w:t xml:space="preserve"> years, while holding bonds with maturities beyond </w:t>
      </w:r>
      <w:r w:rsidR="002C43C4" w:rsidRPr="00533B44">
        <w:rPr>
          <w:b/>
          <w:bCs/>
          <w:sz w:val="20"/>
          <w:szCs w:val="20"/>
        </w:rPr>
        <w:t>five</w:t>
      </w:r>
      <w:r w:rsidRPr="00533B44">
        <w:rPr>
          <w:b/>
          <w:bCs/>
          <w:sz w:val="20"/>
          <w:szCs w:val="20"/>
        </w:rPr>
        <w:t xml:space="preserve"> years, be acceptable?</w:t>
      </w:r>
    </w:p>
    <w:p w14:paraId="3D44B29D" w14:textId="7A1B21DD" w:rsidR="00D05E34" w:rsidRPr="00533B44" w:rsidRDefault="00D05E34" w:rsidP="00D05E3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Products should have an inherent bias to short duration and be predominantly invested in bonds with a remaining term to maturity of five years or less. Although candidates may qualify through total assets managed across short duration high yields bonds, preference will be given to dedicated products</w:t>
      </w:r>
      <w:r w:rsidR="007B7B51" w:rsidRPr="00533B44">
        <w:rPr>
          <w:i/>
          <w:iCs/>
          <w:sz w:val="20"/>
          <w:szCs w:val="20"/>
        </w:rPr>
        <w:t xml:space="preserve"> with objectives</w:t>
      </w:r>
      <w:r w:rsidRPr="00533B44">
        <w:rPr>
          <w:i/>
          <w:iCs/>
          <w:sz w:val="20"/>
          <w:szCs w:val="20"/>
        </w:rPr>
        <w:t xml:space="preserve"> that match </w:t>
      </w:r>
      <w:r w:rsidR="00F54C0B">
        <w:rPr>
          <w:i/>
          <w:iCs/>
          <w:sz w:val="20"/>
          <w:szCs w:val="20"/>
        </w:rPr>
        <w:t>the stated preferred profile</w:t>
      </w:r>
      <w:r w:rsidRPr="00533B44">
        <w:rPr>
          <w:i/>
          <w:iCs/>
          <w:sz w:val="20"/>
          <w:szCs w:val="20"/>
        </w:rPr>
        <w:t xml:space="preserve"> of the mandate.</w:t>
      </w:r>
    </w:p>
    <w:p w14:paraId="0F84FCF1" w14:textId="77777777" w:rsidR="00D05E34" w:rsidRPr="00533B44" w:rsidRDefault="00D05E34" w:rsidP="00D05E34">
      <w:pPr>
        <w:rPr>
          <w:b/>
          <w:bCs/>
          <w:color w:val="00AEEF" w:themeColor="accent2"/>
          <w:sz w:val="20"/>
          <w:szCs w:val="20"/>
        </w:rPr>
      </w:pPr>
    </w:p>
    <w:p w14:paraId="7BE85D19" w14:textId="77777777" w:rsidR="00D05E34" w:rsidRPr="00533B44" w:rsidRDefault="00D05E34" w:rsidP="00D05E3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Would products that allow investment grade credit and/or CCC or below-rated bonds count towards the eligibility requirements for $1.5 billion in AUM?</w:t>
      </w:r>
    </w:p>
    <w:p w14:paraId="1C488717" w14:textId="152C31E0" w:rsidR="00D05E34" w:rsidRPr="00533B44" w:rsidRDefault="00D05E34" w:rsidP="00D05E3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 xml:space="preserve">Yes, so long as the product maintains a weighted average credit rating that resembles the </w:t>
      </w:r>
      <w:bookmarkStart w:id="0" w:name="_Hlk140511359"/>
      <w:r w:rsidRPr="00533B44">
        <w:rPr>
          <w:i/>
          <w:iCs/>
          <w:sz w:val="20"/>
          <w:szCs w:val="20"/>
        </w:rPr>
        <w:t xml:space="preserve">ICE </w:t>
      </w:r>
      <w:proofErr w:type="spellStart"/>
      <w:r w:rsidRPr="00533B44">
        <w:rPr>
          <w:i/>
          <w:iCs/>
          <w:sz w:val="20"/>
          <w:szCs w:val="20"/>
        </w:rPr>
        <w:t>BofA</w:t>
      </w:r>
      <w:proofErr w:type="spellEnd"/>
      <w:r w:rsidRPr="00533B44">
        <w:rPr>
          <w:i/>
          <w:iCs/>
          <w:sz w:val="20"/>
          <w:szCs w:val="20"/>
        </w:rPr>
        <w:t xml:space="preserve"> 0-2 Year Duration BB-B US High Yield Constrained Index</w:t>
      </w:r>
      <w:bookmarkEnd w:id="0"/>
      <w:r w:rsidRPr="00533B44">
        <w:rPr>
          <w:i/>
          <w:iCs/>
          <w:sz w:val="20"/>
          <w:szCs w:val="20"/>
        </w:rPr>
        <w:t>.</w:t>
      </w:r>
    </w:p>
    <w:p w14:paraId="5B821658" w14:textId="28A0221C" w:rsidR="009E312E" w:rsidRPr="00533B44" w:rsidRDefault="009E312E" w:rsidP="00D05E34">
      <w:pPr>
        <w:rPr>
          <w:i/>
          <w:iCs/>
          <w:sz w:val="20"/>
          <w:szCs w:val="20"/>
        </w:rPr>
      </w:pPr>
    </w:p>
    <w:p w14:paraId="723AB105" w14:textId="45DC91B1" w:rsidR="009E312E" w:rsidRPr="00533B44" w:rsidRDefault="009E312E" w:rsidP="009E312E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Could you provide further detail on how the Short Duration High Yield scope is defined (geography, benchmarks used, etc</w:t>
      </w:r>
      <w:r w:rsidR="00732273">
        <w:rPr>
          <w:b/>
          <w:bCs/>
          <w:sz w:val="20"/>
          <w:szCs w:val="20"/>
        </w:rPr>
        <w:t>.</w:t>
      </w:r>
      <w:r w:rsidRPr="00533B44">
        <w:rPr>
          <w:b/>
          <w:bCs/>
          <w:sz w:val="20"/>
          <w:szCs w:val="20"/>
        </w:rPr>
        <w:t>) as it relates to meeting the strategy AUM threshold?</w:t>
      </w:r>
    </w:p>
    <w:p w14:paraId="50A611D0" w14:textId="5D253151" w:rsidR="009E312E" w:rsidRPr="00533B44" w:rsidRDefault="009E312E" w:rsidP="009E312E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Preference is for US-focused strategies but is not required as a minimum qualification. Candidates can meet the strategy AUM requirement through managing $1.5 billion or more across short duration high yield bonds with a remaining term to maturity of five years or less, but preference will be given to dedicated products meeting the requirement.</w:t>
      </w:r>
    </w:p>
    <w:p w14:paraId="22EE240B" w14:textId="77777777" w:rsidR="00D05E34" w:rsidRPr="00533B44" w:rsidRDefault="00D05E34" w:rsidP="008063CE">
      <w:pPr>
        <w:rPr>
          <w:sz w:val="20"/>
          <w:szCs w:val="20"/>
        </w:rPr>
      </w:pPr>
    </w:p>
    <w:p w14:paraId="06A6C8B7" w14:textId="3ED7A41F" w:rsidR="00D05E34" w:rsidRPr="00533B44" w:rsidRDefault="006B6596" w:rsidP="008063CE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>Minimum Qualifications #6</w:t>
      </w:r>
    </w:p>
    <w:p w14:paraId="775687BD" w14:textId="1C586852" w:rsidR="006B6596" w:rsidRPr="00533B44" w:rsidRDefault="00D05E34" w:rsidP="008063CE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D</w:t>
      </w:r>
      <w:r w:rsidR="006B6596" w:rsidRPr="00533B44">
        <w:rPr>
          <w:b/>
          <w:bCs/>
          <w:sz w:val="20"/>
          <w:szCs w:val="20"/>
        </w:rPr>
        <w:t>oes this require having at least five US tax-exempt clients that each have $5 billion or more in total assets at the plan level, or total US tax-exempt asset managed by the firm?</w:t>
      </w:r>
    </w:p>
    <w:p w14:paraId="0E62CE06" w14:textId="77AC4446" w:rsidR="00685969" w:rsidRPr="00533B44" w:rsidRDefault="006B6596" w:rsidP="008063CE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Each US tax-exempt client having at least $5 billion in total plan assets.</w:t>
      </w:r>
    </w:p>
    <w:p w14:paraId="1E2B4F25" w14:textId="60FE0AB7" w:rsidR="00D05E34" w:rsidRPr="00533B44" w:rsidRDefault="00D05E34" w:rsidP="008063CE">
      <w:pPr>
        <w:rPr>
          <w:b/>
          <w:bCs/>
          <w:color w:val="00AEEF" w:themeColor="accent2"/>
          <w:sz w:val="20"/>
          <w:szCs w:val="20"/>
        </w:rPr>
      </w:pPr>
    </w:p>
    <w:p w14:paraId="34C58225" w14:textId="1664193E" w:rsidR="00D05E34" w:rsidRPr="00533B44" w:rsidRDefault="00BA4CED" w:rsidP="00D05E34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 xml:space="preserve">Section X, </w:t>
      </w:r>
      <w:r w:rsidR="002C43C4" w:rsidRPr="00533B44">
        <w:rPr>
          <w:sz w:val="20"/>
          <w:szCs w:val="20"/>
          <w:u w:val="single"/>
        </w:rPr>
        <w:t>P</w:t>
      </w:r>
      <w:r w:rsidRPr="00533B44">
        <w:rPr>
          <w:sz w:val="20"/>
          <w:szCs w:val="20"/>
          <w:u w:val="single"/>
        </w:rPr>
        <w:t>art F</w:t>
      </w:r>
    </w:p>
    <w:p w14:paraId="6F0ADACC" w14:textId="77777777" w:rsidR="00BA4CED" w:rsidRPr="00533B44" w:rsidRDefault="00BA4CED" w:rsidP="00D05E3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Regarding “No Indemnification of Contractor,” i</w:t>
      </w:r>
      <w:r w:rsidR="00D05E34" w:rsidRPr="00533B44">
        <w:rPr>
          <w:b/>
          <w:bCs/>
          <w:sz w:val="20"/>
          <w:szCs w:val="20"/>
        </w:rPr>
        <w:t>s NMSIC willing to negotiate this point? Can language be added around gross negligence?</w:t>
      </w:r>
    </w:p>
    <w:p w14:paraId="3E58AB1C" w14:textId="1B10F1E1" w:rsidR="00D05E34" w:rsidRPr="00533B44" w:rsidRDefault="00D05E34" w:rsidP="00D05E3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No</w:t>
      </w:r>
      <w:r w:rsidR="00F54C0B">
        <w:rPr>
          <w:i/>
          <w:iCs/>
          <w:sz w:val="20"/>
          <w:szCs w:val="20"/>
        </w:rPr>
        <w:t>.</w:t>
      </w:r>
    </w:p>
    <w:p w14:paraId="38115674" w14:textId="743775A5" w:rsidR="00D05E34" w:rsidRPr="00533B44" w:rsidRDefault="00D05E34" w:rsidP="003C77FD">
      <w:pPr>
        <w:rPr>
          <w:sz w:val="20"/>
          <w:szCs w:val="20"/>
        </w:rPr>
      </w:pPr>
    </w:p>
    <w:p w14:paraId="0EA937DA" w14:textId="4EC515F7" w:rsidR="009F2C9C" w:rsidRPr="00533B44" w:rsidRDefault="009F2C9C" w:rsidP="003C77FD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 xml:space="preserve">Section H, Questions 2 a-e and Data Request </w:t>
      </w:r>
      <w:r w:rsidR="009E312E" w:rsidRPr="00533B44">
        <w:rPr>
          <w:sz w:val="20"/>
          <w:szCs w:val="20"/>
          <w:u w:val="single"/>
        </w:rPr>
        <w:t>S</w:t>
      </w:r>
      <w:r w:rsidRPr="00533B44">
        <w:rPr>
          <w:sz w:val="20"/>
          <w:szCs w:val="20"/>
          <w:u w:val="single"/>
        </w:rPr>
        <w:t>preadsheet</w:t>
      </w:r>
    </w:p>
    <w:p w14:paraId="186BD361" w14:textId="77028E13" w:rsidR="008063CE" w:rsidRPr="00533B44" w:rsidRDefault="008063CE" w:rsidP="003C77FD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Is attribution in any other format other than that requested in Tab 5 of the Data Request form acceptable?</w:t>
      </w:r>
    </w:p>
    <w:p w14:paraId="76B2CDAE" w14:textId="77777777" w:rsidR="008063CE" w:rsidRPr="00533B44" w:rsidRDefault="008063CE" w:rsidP="008063CE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Preference will be given to candidates providing attribution as requested.</w:t>
      </w:r>
    </w:p>
    <w:p w14:paraId="20500DEC" w14:textId="77777777" w:rsidR="008063CE" w:rsidRPr="00533B44" w:rsidRDefault="008063CE" w:rsidP="003C77FD">
      <w:pPr>
        <w:rPr>
          <w:sz w:val="20"/>
          <w:szCs w:val="20"/>
        </w:rPr>
      </w:pPr>
    </w:p>
    <w:p w14:paraId="37EB2109" w14:textId="6CA57055" w:rsidR="008063CE" w:rsidRPr="00533B44" w:rsidRDefault="008063CE" w:rsidP="003C77FD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lastRenderedPageBreak/>
        <w:t xml:space="preserve">Should performance and attribution for the Data Request form Tabs 2-6 be presented against the </w:t>
      </w:r>
      <w:r w:rsidR="008A5E9C" w:rsidRPr="008A5E9C">
        <w:rPr>
          <w:b/>
          <w:bCs/>
          <w:sz w:val="20"/>
          <w:szCs w:val="20"/>
        </w:rPr>
        <w:t xml:space="preserve">ICE </w:t>
      </w:r>
      <w:proofErr w:type="spellStart"/>
      <w:r w:rsidR="008A5E9C" w:rsidRPr="008A5E9C">
        <w:rPr>
          <w:b/>
          <w:bCs/>
          <w:sz w:val="20"/>
          <w:szCs w:val="20"/>
        </w:rPr>
        <w:t>BofA</w:t>
      </w:r>
      <w:proofErr w:type="spellEnd"/>
      <w:r w:rsidR="008A5E9C" w:rsidRPr="008A5E9C">
        <w:rPr>
          <w:b/>
          <w:bCs/>
          <w:sz w:val="20"/>
          <w:szCs w:val="20"/>
        </w:rPr>
        <w:t xml:space="preserve"> 0-2 Year Duration BB-B US High Yield Constrained Index </w:t>
      </w:r>
      <w:r w:rsidRPr="00533B44">
        <w:rPr>
          <w:b/>
          <w:bCs/>
          <w:sz w:val="20"/>
          <w:szCs w:val="20"/>
        </w:rPr>
        <w:t>or against the composite index (if different)?</w:t>
      </w:r>
    </w:p>
    <w:p w14:paraId="2598C47C" w14:textId="5FDD3656" w:rsidR="006B6596" w:rsidRPr="00533B44" w:rsidRDefault="008A5E9C" w:rsidP="003C77FD">
      <w:pPr>
        <w:rPr>
          <w:i/>
          <w:iCs/>
          <w:sz w:val="20"/>
          <w:szCs w:val="20"/>
        </w:rPr>
      </w:pPr>
      <w:r w:rsidRPr="008A5E9C">
        <w:rPr>
          <w:i/>
          <w:iCs/>
          <w:sz w:val="20"/>
          <w:szCs w:val="20"/>
        </w:rPr>
        <w:t xml:space="preserve">ICE </w:t>
      </w:r>
      <w:proofErr w:type="spellStart"/>
      <w:r w:rsidRPr="008A5E9C">
        <w:rPr>
          <w:i/>
          <w:iCs/>
          <w:sz w:val="20"/>
          <w:szCs w:val="20"/>
        </w:rPr>
        <w:t>BofA</w:t>
      </w:r>
      <w:proofErr w:type="spellEnd"/>
      <w:r w:rsidRPr="008A5E9C">
        <w:rPr>
          <w:i/>
          <w:iCs/>
          <w:sz w:val="20"/>
          <w:szCs w:val="20"/>
        </w:rPr>
        <w:t xml:space="preserve"> 0-2 Year Duration BB-B US High Yield Constrained Index</w:t>
      </w:r>
      <w:r w:rsidR="008063CE" w:rsidRPr="00533B44">
        <w:rPr>
          <w:i/>
          <w:iCs/>
          <w:sz w:val="20"/>
          <w:szCs w:val="20"/>
        </w:rPr>
        <w:t xml:space="preserve"> should be used for all benchmark-related questions unless otherwise noted. Preference will be given to candidates providing performance and attribution as requested.</w:t>
      </w:r>
    </w:p>
    <w:p w14:paraId="1459A467" w14:textId="49264AF7" w:rsidR="006B6596" w:rsidRPr="00533B44" w:rsidRDefault="006B6596" w:rsidP="003C77FD">
      <w:pPr>
        <w:rPr>
          <w:b/>
          <w:bCs/>
          <w:color w:val="00AEEF" w:themeColor="accent2"/>
          <w:sz w:val="20"/>
          <w:szCs w:val="20"/>
        </w:rPr>
      </w:pPr>
    </w:p>
    <w:p w14:paraId="07605D11" w14:textId="77777777" w:rsidR="006B6596" w:rsidRPr="00533B44" w:rsidRDefault="006B6596" w:rsidP="006B6596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May we insert footnotes at the bottom of each Tab of the Data Request spreadsheet?</w:t>
      </w:r>
    </w:p>
    <w:p w14:paraId="4EEDC816" w14:textId="0AC78190" w:rsidR="006B6596" w:rsidRPr="00533B44" w:rsidRDefault="006B6596" w:rsidP="006B6596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Yes</w:t>
      </w:r>
      <w:r w:rsidR="00F54C0B">
        <w:rPr>
          <w:i/>
          <w:iCs/>
          <w:sz w:val="20"/>
          <w:szCs w:val="20"/>
        </w:rPr>
        <w:t>.</w:t>
      </w:r>
    </w:p>
    <w:p w14:paraId="6D1285C1" w14:textId="77777777" w:rsidR="006B6596" w:rsidRPr="00533B44" w:rsidRDefault="006B6596" w:rsidP="006B6596">
      <w:pPr>
        <w:rPr>
          <w:sz w:val="20"/>
          <w:szCs w:val="20"/>
        </w:rPr>
      </w:pPr>
    </w:p>
    <w:p w14:paraId="19832A02" w14:textId="508A3480" w:rsidR="00D05E34" w:rsidRPr="00533B44" w:rsidRDefault="006B6596" w:rsidP="006B6596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>Appendix A #11</w:t>
      </w:r>
    </w:p>
    <w:p w14:paraId="4673E652" w14:textId="1263C434" w:rsidR="006B6596" w:rsidRPr="00533B44" w:rsidRDefault="00D05E34" w:rsidP="006B6596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I</w:t>
      </w:r>
      <w:r w:rsidR="006B6596" w:rsidRPr="00533B44">
        <w:rPr>
          <w:b/>
          <w:bCs/>
          <w:sz w:val="20"/>
          <w:szCs w:val="20"/>
        </w:rPr>
        <w:t>s the question asking for the page # in the submission where the Scope of Work is described, or should it be the earliest date that we could commence management of the portfolio after the proposed contract execution/effective date of 10/31/23 as listed in the Proposed Sequence of Events?</w:t>
      </w:r>
    </w:p>
    <w:p w14:paraId="0DB530FF" w14:textId="6EA3EBD6" w:rsidR="006B6596" w:rsidRPr="00533B44" w:rsidRDefault="006B6596" w:rsidP="006B6596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Earliest date</w:t>
      </w:r>
      <w:r w:rsidR="00F54C0B">
        <w:rPr>
          <w:i/>
          <w:iCs/>
          <w:sz w:val="20"/>
          <w:szCs w:val="20"/>
        </w:rPr>
        <w:t>.</w:t>
      </w:r>
    </w:p>
    <w:p w14:paraId="4B6E99AF" w14:textId="7AA22A95" w:rsidR="006B6596" w:rsidRPr="00533B44" w:rsidRDefault="006B6596" w:rsidP="003C77FD">
      <w:pPr>
        <w:rPr>
          <w:sz w:val="20"/>
          <w:szCs w:val="20"/>
        </w:rPr>
      </w:pPr>
    </w:p>
    <w:p w14:paraId="42FB0CFC" w14:textId="047AF0AD" w:rsidR="00D05E34" w:rsidRPr="00533B44" w:rsidRDefault="006B6596" w:rsidP="006B6596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 xml:space="preserve">Appendix B, </w:t>
      </w:r>
      <w:r w:rsidR="009E312E" w:rsidRPr="00533B44">
        <w:rPr>
          <w:sz w:val="20"/>
          <w:szCs w:val="20"/>
          <w:u w:val="single"/>
        </w:rPr>
        <w:t>P</w:t>
      </w:r>
      <w:r w:rsidRPr="00533B44">
        <w:rPr>
          <w:sz w:val="20"/>
          <w:szCs w:val="20"/>
          <w:u w:val="single"/>
        </w:rPr>
        <w:t xml:space="preserve">art J, </w:t>
      </w:r>
      <w:r w:rsidR="009E312E" w:rsidRPr="00533B44">
        <w:rPr>
          <w:sz w:val="20"/>
          <w:szCs w:val="20"/>
          <w:u w:val="single"/>
        </w:rPr>
        <w:t>Q</w:t>
      </w:r>
      <w:r w:rsidRPr="00533B44">
        <w:rPr>
          <w:sz w:val="20"/>
          <w:szCs w:val="20"/>
          <w:u w:val="single"/>
        </w:rPr>
        <w:t>uestion #14</w:t>
      </w:r>
    </w:p>
    <w:p w14:paraId="62345923" w14:textId="2467F3A7" w:rsidR="006B6596" w:rsidRPr="00533B44" w:rsidRDefault="00D05E34" w:rsidP="006B6596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I</w:t>
      </w:r>
      <w:r w:rsidR="006B6596" w:rsidRPr="00533B44">
        <w:rPr>
          <w:b/>
          <w:bCs/>
          <w:sz w:val="20"/>
          <w:szCs w:val="20"/>
        </w:rPr>
        <w:t>s your preference to see the five largest clients in the strategy, or five clients that are willing to serve as references?</w:t>
      </w:r>
    </w:p>
    <w:p w14:paraId="0A29F5C1" w14:textId="56A65494" w:rsidR="006B6596" w:rsidRPr="00533B44" w:rsidRDefault="006B6596" w:rsidP="006B6596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 xml:space="preserve">The five largest </w:t>
      </w:r>
      <w:r w:rsidR="009F2C9C" w:rsidRPr="00533B44">
        <w:rPr>
          <w:i/>
          <w:iCs/>
          <w:sz w:val="20"/>
          <w:szCs w:val="20"/>
        </w:rPr>
        <w:t xml:space="preserve">clients </w:t>
      </w:r>
      <w:r w:rsidRPr="00533B44">
        <w:rPr>
          <w:i/>
          <w:iCs/>
          <w:sz w:val="20"/>
          <w:szCs w:val="20"/>
        </w:rPr>
        <w:t>in the strategy</w:t>
      </w:r>
      <w:r w:rsidR="009F2C9C" w:rsidRPr="00533B44">
        <w:rPr>
          <w:i/>
          <w:iCs/>
          <w:sz w:val="20"/>
          <w:szCs w:val="20"/>
        </w:rPr>
        <w:t>.</w:t>
      </w:r>
    </w:p>
    <w:p w14:paraId="3A487E81" w14:textId="77777777" w:rsidR="006B6596" w:rsidRPr="00533B44" w:rsidRDefault="006B6596" w:rsidP="003C77FD">
      <w:pPr>
        <w:rPr>
          <w:sz w:val="20"/>
          <w:szCs w:val="20"/>
        </w:rPr>
      </w:pPr>
    </w:p>
    <w:p w14:paraId="4CB23EC4" w14:textId="7909658E" w:rsidR="006B6596" w:rsidRPr="00533B44" w:rsidRDefault="00D05E34" w:rsidP="003C77FD">
      <w:pPr>
        <w:rPr>
          <w:sz w:val="20"/>
          <w:szCs w:val="20"/>
          <w:u w:val="single"/>
        </w:rPr>
      </w:pPr>
      <w:r w:rsidRPr="00533B44">
        <w:rPr>
          <w:sz w:val="20"/>
          <w:szCs w:val="20"/>
          <w:u w:val="single"/>
        </w:rPr>
        <w:t>Appendix D</w:t>
      </w:r>
    </w:p>
    <w:p w14:paraId="7EB89438" w14:textId="77777777" w:rsidR="00D05E34" w:rsidRPr="00533B44" w:rsidRDefault="00D05E34" w:rsidP="00D05E3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Can you provide a list of all members (including former members) of the SIC or any of its committees that shall be considered?</w:t>
      </w:r>
    </w:p>
    <w:p w14:paraId="1BD86852" w14:textId="68E39C87" w:rsidR="00D05E34" w:rsidRPr="00533B44" w:rsidRDefault="00D05E34" w:rsidP="00D05E3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All members and committee members are listed on SIC’s website. We suggest that you disclose any contributions made into New Mexico or to citizens of New Mexico.</w:t>
      </w:r>
    </w:p>
    <w:p w14:paraId="3065C87C" w14:textId="7889ED79" w:rsidR="002C43C4" w:rsidRPr="00533B44" w:rsidRDefault="002C43C4" w:rsidP="00BA4CED">
      <w:pPr>
        <w:rPr>
          <w:b/>
          <w:bCs/>
          <w:color w:val="00AEEF" w:themeColor="accent2"/>
          <w:sz w:val="20"/>
          <w:szCs w:val="20"/>
        </w:rPr>
      </w:pPr>
    </w:p>
    <w:p w14:paraId="5F0C9AF6" w14:textId="0C640F8A" w:rsidR="002C43C4" w:rsidRPr="00533B44" w:rsidRDefault="009E312E" w:rsidP="00BA4CED">
      <w:pPr>
        <w:rPr>
          <w:sz w:val="20"/>
          <w:szCs w:val="20"/>
        </w:rPr>
      </w:pPr>
      <w:r w:rsidRPr="00533B44">
        <w:rPr>
          <w:sz w:val="20"/>
          <w:szCs w:val="20"/>
          <w:u w:val="single"/>
        </w:rPr>
        <w:t>Other</w:t>
      </w:r>
    </w:p>
    <w:p w14:paraId="10A83CC8" w14:textId="48FE809A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 xml:space="preserve">Can you confirm the intended benchmark </w:t>
      </w:r>
      <w:r w:rsidR="00283682">
        <w:rPr>
          <w:b/>
          <w:bCs/>
          <w:sz w:val="20"/>
          <w:szCs w:val="20"/>
        </w:rPr>
        <w:t>(</w:t>
      </w:r>
      <w:r w:rsidR="008A5E9C" w:rsidRPr="008A5E9C">
        <w:rPr>
          <w:b/>
          <w:bCs/>
          <w:sz w:val="20"/>
          <w:szCs w:val="20"/>
        </w:rPr>
        <w:t xml:space="preserve">ICE </w:t>
      </w:r>
      <w:proofErr w:type="spellStart"/>
      <w:r w:rsidR="008A5E9C" w:rsidRPr="008A5E9C">
        <w:rPr>
          <w:b/>
          <w:bCs/>
          <w:sz w:val="20"/>
          <w:szCs w:val="20"/>
        </w:rPr>
        <w:t>BofA</w:t>
      </w:r>
      <w:proofErr w:type="spellEnd"/>
      <w:r w:rsidR="008A5E9C" w:rsidRPr="008A5E9C">
        <w:rPr>
          <w:b/>
          <w:bCs/>
          <w:sz w:val="20"/>
          <w:szCs w:val="20"/>
        </w:rPr>
        <w:t xml:space="preserve"> 0-2 Year Duration BB-B US High Yield Constrained Index</w:t>
      </w:r>
      <w:r w:rsidR="00283682">
        <w:rPr>
          <w:b/>
          <w:bCs/>
          <w:sz w:val="20"/>
          <w:szCs w:val="20"/>
        </w:rPr>
        <w:t>)</w:t>
      </w:r>
      <w:r w:rsidRPr="00533B44">
        <w:rPr>
          <w:b/>
          <w:bCs/>
          <w:sz w:val="20"/>
          <w:szCs w:val="20"/>
        </w:rPr>
        <w:t xml:space="preserve"> is ticker H42C?</w:t>
      </w:r>
    </w:p>
    <w:p w14:paraId="20B55693" w14:textId="1827491D" w:rsidR="00283682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Confirmed</w:t>
      </w:r>
      <w:r w:rsidR="00F54C0B">
        <w:rPr>
          <w:i/>
          <w:iCs/>
          <w:sz w:val="20"/>
          <w:szCs w:val="20"/>
        </w:rPr>
        <w:t>.</w:t>
      </w:r>
    </w:p>
    <w:p w14:paraId="1BB687F9" w14:textId="77777777" w:rsidR="00283682" w:rsidRPr="00283682" w:rsidRDefault="00283682" w:rsidP="002C43C4">
      <w:pPr>
        <w:rPr>
          <w:sz w:val="20"/>
          <w:szCs w:val="20"/>
        </w:rPr>
      </w:pPr>
    </w:p>
    <w:p w14:paraId="1E4C09DB" w14:textId="7B6BC214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 xml:space="preserve">Will strategies managed against a different </w:t>
      </w:r>
      <w:r w:rsidR="009E312E" w:rsidRPr="00533B44">
        <w:rPr>
          <w:b/>
          <w:bCs/>
          <w:sz w:val="20"/>
          <w:szCs w:val="20"/>
        </w:rPr>
        <w:t>benchmark</w:t>
      </w:r>
      <w:r w:rsidRPr="00533B44">
        <w:rPr>
          <w:b/>
          <w:bCs/>
          <w:sz w:val="20"/>
          <w:szCs w:val="20"/>
        </w:rPr>
        <w:t xml:space="preserve"> </w:t>
      </w:r>
      <w:r w:rsidR="009E312E" w:rsidRPr="00533B44">
        <w:rPr>
          <w:b/>
          <w:bCs/>
          <w:sz w:val="20"/>
          <w:szCs w:val="20"/>
        </w:rPr>
        <w:t xml:space="preserve">other </w:t>
      </w:r>
      <w:r w:rsidRPr="00533B44">
        <w:rPr>
          <w:b/>
          <w:bCs/>
          <w:sz w:val="20"/>
          <w:szCs w:val="20"/>
        </w:rPr>
        <w:t xml:space="preserve">than the </w:t>
      </w:r>
      <w:r w:rsidR="008A5E9C" w:rsidRPr="008A5E9C">
        <w:rPr>
          <w:b/>
          <w:bCs/>
          <w:sz w:val="20"/>
          <w:szCs w:val="20"/>
        </w:rPr>
        <w:t xml:space="preserve">ICE </w:t>
      </w:r>
      <w:proofErr w:type="spellStart"/>
      <w:r w:rsidR="008A5E9C" w:rsidRPr="008A5E9C">
        <w:rPr>
          <w:b/>
          <w:bCs/>
          <w:sz w:val="20"/>
          <w:szCs w:val="20"/>
        </w:rPr>
        <w:t>BofA</w:t>
      </w:r>
      <w:proofErr w:type="spellEnd"/>
      <w:r w:rsidR="008A5E9C" w:rsidRPr="008A5E9C">
        <w:rPr>
          <w:b/>
          <w:bCs/>
          <w:sz w:val="20"/>
          <w:szCs w:val="20"/>
        </w:rPr>
        <w:t xml:space="preserve"> 0-2 Year Duration BB-B US High Yield Constrained Index</w:t>
      </w:r>
      <w:r w:rsidRPr="00533B44">
        <w:rPr>
          <w:b/>
          <w:bCs/>
          <w:sz w:val="20"/>
          <w:szCs w:val="20"/>
        </w:rPr>
        <w:t xml:space="preserve"> be considered?</w:t>
      </w:r>
    </w:p>
    <w:p w14:paraId="6622CB28" w14:textId="77777777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Yes, but candidates must be willing to manage against the chosen index unless another is mutually agreed on.</w:t>
      </w:r>
    </w:p>
    <w:p w14:paraId="03117D96" w14:textId="77777777" w:rsidR="002C43C4" w:rsidRPr="00533B44" w:rsidRDefault="002C43C4" w:rsidP="002C43C4">
      <w:pPr>
        <w:rPr>
          <w:sz w:val="20"/>
          <w:szCs w:val="20"/>
        </w:rPr>
      </w:pPr>
    </w:p>
    <w:p w14:paraId="510B86EF" w14:textId="77777777" w:rsidR="002C43C4" w:rsidRPr="00533B44" w:rsidRDefault="002C43C4" w:rsidP="002C43C4">
      <w:pPr>
        <w:rPr>
          <w:b/>
          <w:bCs/>
          <w:sz w:val="20"/>
          <w:szCs w:val="20"/>
        </w:rPr>
      </w:pPr>
      <w:bookmarkStart w:id="1" w:name="_Hlk140502728"/>
      <w:r w:rsidRPr="00533B44">
        <w:rPr>
          <w:b/>
          <w:bCs/>
          <w:sz w:val="20"/>
          <w:szCs w:val="20"/>
        </w:rPr>
        <w:t>Will there be ratings limitations for eligible investments?</w:t>
      </w:r>
      <w:bookmarkEnd w:id="1"/>
    </w:p>
    <w:p w14:paraId="42445572" w14:textId="77777777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The mandate will be focused on BB-B securities, and the weighted average rating of the portfolio will be expected to resemble the index. Limited investment grade or CCC/below-rated securities may be allowed, but specific limitations have not yet been determined.</w:t>
      </w:r>
    </w:p>
    <w:p w14:paraId="528EBFFE" w14:textId="77777777" w:rsidR="002C43C4" w:rsidRPr="00533B44" w:rsidRDefault="002C43C4" w:rsidP="002C43C4">
      <w:pPr>
        <w:rPr>
          <w:b/>
          <w:bCs/>
          <w:color w:val="00AEEF" w:themeColor="accent2"/>
          <w:sz w:val="20"/>
          <w:szCs w:val="20"/>
        </w:rPr>
      </w:pPr>
    </w:p>
    <w:p w14:paraId="71AC9FAD" w14:textId="77777777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Will there be limitations on average or maximum maturity or duration either at the security level, the portfolio level, or both?</w:t>
      </w:r>
    </w:p>
    <w:p w14:paraId="49685B59" w14:textId="7440B6AA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 xml:space="preserve">There is no stated maximum maturity for any individual security. However, the portfolio WAM must </w:t>
      </w:r>
      <w:proofErr w:type="gramStart"/>
      <w:r w:rsidRPr="00533B44">
        <w:rPr>
          <w:i/>
          <w:iCs/>
          <w:sz w:val="20"/>
          <w:szCs w:val="20"/>
        </w:rPr>
        <w:t>be less than five years at all times</w:t>
      </w:r>
      <w:proofErr w:type="gramEnd"/>
      <w:r w:rsidRPr="00533B44">
        <w:rPr>
          <w:i/>
          <w:iCs/>
          <w:sz w:val="20"/>
          <w:szCs w:val="20"/>
        </w:rPr>
        <w:t>. Any duration limitations will be determined at a future date. Securities that have a material adverse impact on the liquidity profile of the portfolio will not be permitted.</w:t>
      </w:r>
    </w:p>
    <w:p w14:paraId="43854AA3" w14:textId="77777777" w:rsidR="002C43C4" w:rsidRPr="00533B44" w:rsidRDefault="002C43C4" w:rsidP="002C43C4">
      <w:pPr>
        <w:rPr>
          <w:b/>
          <w:bCs/>
          <w:color w:val="00AEEF" w:themeColor="accent2"/>
          <w:sz w:val="20"/>
          <w:szCs w:val="20"/>
        </w:rPr>
      </w:pPr>
    </w:p>
    <w:p w14:paraId="6B8D18DE" w14:textId="77777777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Will there be a limit on out-of-benchmark securities?</w:t>
      </w:r>
    </w:p>
    <w:p w14:paraId="1EFFEBB2" w14:textId="77777777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Some allowance will be provided for non-index eligible securities; individual limits will be determined at a future date. However, this strategy is intended to be biased towards greater relative liquidity within the U.S. short duration high yield universe (maturities inside of 5 years). Permitted investments for the mandate will reflect this prioritization of liquidity.</w:t>
      </w:r>
    </w:p>
    <w:p w14:paraId="5B01C6A2" w14:textId="636D8775" w:rsidR="002C43C4" w:rsidRDefault="002C43C4" w:rsidP="002C43C4">
      <w:pPr>
        <w:rPr>
          <w:b/>
          <w:bCs/>
          <w:color w:val="00AEEF" w:themeColor="accent2"/>
          <w:sz w:val="20"/>
          <w:szCs w:val="20"/>
        </w:rPr>
      </w:pPr>
    </w:p>
    <w:p w14:paraId="7BF28B76" w14:textId="77777777" w:rsidR="008A5E9C" w:rsidRPr="00533B44" w:rsidRDefault="008A5E9C" w:rsidP="002C43C4">
      <w:pPr>
        <w:rPr>
          <w:b/>
          <w:bCs/>
          <w:color w:val="00AEEF" w:themeColor="accent2"/>
          <w:sz w:val="20"/>
          <w:szCs w:val="20"/>
        </w:rPr>
      </w:pPr>
    </w:p>
    <w:p w14:paraId="6E2E0CD1" w14:textId="77777777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lastRenderedPageBreak/>
        <w:t>Is there an excess return target for the portfolio?</w:t>
      </w:r>
    </w:p>
    <w:p w14:paraId="77AE9134" w14:textId="3F5026CA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No</w:t>
      </w:r>
      <w:r w:rsidR="00F54C0B">
        <w:rPr>
          <w:i/>
          <w:iCs/>
          <w:sz w:val="20"/>
          <w:szCs w:val="20"/>
        </w:rPr>
        <w:t>.</w:t>
      </w:r>
    </w:p>
    <w:p w14:paraId="7F056BA7" w14:textId="77777777" w:rsidR="002C43C4" w:rsidRPr="00533B44" w:rsidRDefault="002C43C4" w:rsidP="002C43C4">
      <w:pPr>
        <w:rPr>
          <w:sz w:val="20"/>
          <w:szCs w:val="20"/>
        </w:rPr>
      </w:pPr>
    </w:p>
    <w:p w14:paraId="0DFFD7F0" w14:textId="77777777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What is the ideal liquidity profile of the mandate? To be able to liquidate the portfolio in 3 days? 5 days? 10 days?</w:t>
      </w:r>
    </w:p>
    <w:p w14:paraId="2B0BC5D1" w14:textId="77777777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 xml:space="preserve">Preference is for a liquidity profile where </w:t>
      </w:r>
      <w:proofErr w:type="gramStart"/>
      <w:r w:rsidRPr="00533B44">
        <w:rPr>
          <w:i/>
          <w:iCs/>
          <w:sz w:val="20"/>
          <w:szCs w:val="20"/>
        </w:rPr>
        <w:t>the vast majority of</w:t>
      </w:r>
      <w:proofErr w:type="gramEnd"/>
      <w:r w:rsidRPr="00533B44">
        <w:rPr>
          <w:i/>
          <w:iCs/>
          <w:sz w:val="20"/>
          <w:szCs w:val="20"/>
        </w:rPr>
        <w:t xml:space="preserve"> holdings can be liquidated within 3 days.</w:t>
      </w:r>
    </w:p>
    <w:p w14:paraId="7DB09C2B" w14:textId="77777777" w:rsidR="002C43C4" w:rsidRPr="00533B44" w:rsidRDefault="002C43C4" w:rsidP="002C43C4">
      <w:pPr>
        <w:rPr>
          <w:sz w:val="20"/>
          <w:szCs w:val="20"/>
        </w:rPr>
      </w:pPr>
    </w:p>
    <w:p w14:paraId="7B641521" w14:textId="77777777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>How much fluctuation should we expect in daily/monthly balances if the allocation is designed as a cash enhancement?</w:t>
      </w:r>
    </w:p>
    <w:p w14:paraId="498B8867" w14:textId="77777777" w:rsidR="002C43C4" w:rsidRPr="00533B44" w:rsidRDefault="002C43C4" w:rsidP="002C43C4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Please refer to Section VI. Minimum Qualifications (#9).</w:t>
      </w:r>
    </w:p>
    <w:p w14:paraId="7852843E" w14:textId="44D6705E" w:rsidR="002C43C4" w:rsidRPr="00533B44" w:rsidRDefault="002C43C4" w:rsidP="00BA4CED">
      <w:pPr>
        <w:rPr>
          <w:sz w:val="20"/>
          <w:szCs w:val="20"/>
        </w:rPr>
      </w:pPr>
    </w:p>
    <w:p w14:paraId="61D3CF73" w14:textId="77777777" w:rsidR="002C43C4" w:rsidRPr="00533B44" w:rsidRDefault="002C43C4" w:rsidP="002C43C4">
      <w:pPr>
        <w:rPr>
          <w:b/>
          <w:bCs/>
          <w:sz w:val="20"/>
          <w:szCs w:val="20"/>
        </w:rPr>
      </w:pPr>
      <w:r w:rsidRPr="00533B44">
        <w:rPr>
          <w:b/>
          <w:bCs/>
          <w:sz w:val="20"/>
          <w:szCs w:val="20"/>
        </w:rPr>
        <w:t xml:space="preserve">Can the contract for this mandate be substantially </w:t>
      </w:r>
      <w:proofErr w:type="gramStart"/>
      <w:r w:rsidRPr="00533B44">
        <w:rPr>
          <w:b/>
          <w:bCs/>
          <w:sz w:val="20"/>
          <w:szCs w:val="20"/>
        </w:rPr>
        <w:t>similar to</w:t>
      </w:r>
      <w:proofErr w:type="gramEnd"/>
      <w:r w:rsidRPr="00533B44">
        <w:rPr>
          <w:b/>
          <w:bCs/>
          <w:sz w:val="20"/>
          <w:szCs w:val="20"/>
        </w:rPr>
        <w:t xml:space="preserve"> existing contracts between investment managers and NMSIC, to be updated due to regulatory and market-based developments?</w:t>
      </w:r>
    </w:p>
    <w:p w14:paraId="71A1A8C0" w14:textId="7E1940A7" w:rsidR="002C43C4" w:rsidRPr="00533B44" w:rsidRDefault="002C43C4" w:rsidP="00BA4CED">
      <w:pPr>
        <w:rPr>
          <w:i/>
          <w:iCs/>
          <w:sz w:val="20"/>
          <w:szCs w:val="20"/>
        </w:rPr>
      </w:pPr>
      <w:r w:rsidRPr="00533B44">
        <w:rPr>
          <w:i/>
          <w:iCs/>
          <w:sz w:val="20"/>
          <w:szCs w:val="20"/>
        </w:rPr>
        <w:t>Yes, it can be similar.</w:t>
      </w:r>
    </w:p>
    <w:sectPr w:rsidR="002C43C4" w:rsidRPr="00533B44" w:rsidSect="00533B44">
      <w:footerReference w:type="even" r:id="rId12"/>
      <w:footerReference w:type="default" r:id="rId13"/>
      <w:type w:val="continuous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0E92" w14:textId="77777777" w:rsidR="009F0C77" w:rsidRDefault="009F0C77" w:rsidP="003073B0">
      <w:pPr>
        <w:pStyle w:val="FootnoteSeperator"/>
      </w:pPr>
      <w:r>
        <w:separator/>
      </w:r>
    </w:p>
  </w:endnote>
  <w:endnote w:type="continuationSeparator" w:id="0">
    <w:p w14:paraId="732127C8" w14:textId="77777777" w:rsidR="009F0C77" w:rsidRDefault="009F0C77" w:rsidP="009B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E947" w14:textId="77777777" w:rsidR="00264E87" w:rsidRDefault="00264E87" w:rsidP="00B152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31ECF" w14:textId="77777777" w:rsidR="00264E87" w:rsidRDefault="00264E87" w:rsidP="00264E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3FA6" w14:textId="77777777" w:rsidR="00264E87" w:rsidRDefault="00264E87" w:rsidP="00264E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0E6C" w14:textId="77777777" w:rsidR="009F0C77" w:rsidRPr="00E331ED" w:rsidRDefault="009F0C77" w:rsidP="00E331ED">
      <w:pPr>
        <w:pStyle w:val="FootnoteSeperator"/>
      </w:pPr>
      <w:r w:rsidRPr="00E331ED">
        <w:separator/>
      </w:r>
    </w:p>
  </w:footnote>
  <w:footnote w:type="continuationSeparator" w:id="0">
    <w:p w14:paraId="59182DD5" w14:textId="77777777" w:rsidR="009F0C77" w:rsidRDefault="009F0C77" w:rsidP="009B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864"/>
    <w:multiLevelType w:val="hybridMultilevel"/>
    <w:tmpl w:val="A042A87A"/>
    <w:lvl w:ilvl="0" w:tplc="16A4D8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1425"/>
    <w:multiLevelType w:val="hybridMultilevel"/>
    <w:tmpl w:val="A170E624"/>
    <w:lvl w:ilvl="0" w:tplc="AA609A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16EB"/>
    <w:multiLevelType w:val="hybridMultilevel"/>
    <w:tmpl w:val="8B6C4EE8"/>
    <w:lvl w:ilvl="0" w:tplc="0A968C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67E0"/>
    <w:multiLevelType w:val="hybridMultilevel"/>
    <w:tmpl w:val="8ECE06B6"/>
    <w:lvl w:ilvl="0" w:tplc="1D3E5E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0AC9"/>
    <w:multiLevelType w:val="hybridMultilevel"/>
    <w:tmpl w:val="A692D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4019"/>
    <w:multiLevelType w:val="hybridMultilevel"/>
    <w:tmpl w:val="9FB4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D170B"/>
    <w:multiLevelType w:val="hybridMultilevel"/>
    <w:tmpl w:val="489847B0"/>
    <w:lvl w:ilvl="0" w:tplc="5C268A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7B3B"/>
    <w:multiLevelType w:val="hybridMultilevel"/>
    <w:tmpl w:val="835498FA"/>
    <w:lvl w:ilvl="0" w:tplc="BF803F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339D"/>
    <w:multiLevelType w:val="hybridMultilevel"/>
    <w:tmpl w:val="6128D5FA"/>
    <w:lvl w:ilvl="0" w:tplc="11FE79BA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30166"/>
    <w:multiLevelType w:val="hybridMultilevel"/>
    <w:tmpl w:val="5614B4B0"/>
    <w:lvl w:ilvl="0" w:tplc="52A2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110BF"/>
    <w:multiLevelType w:val="hybridMultilevel"/>
    <w:tmpl w:val="58A8AC2C"/>
    <w:lvl w:ilvl="0" w:tplc="BF4448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815"/>
    <w:multiLevelType w:val="hybridMultilevel"/>
    <w:tmpl w:val="1128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4CF6"/>
    <w:multiLevelType w:val="hybridMultilevel"/>
    <w:tmpl w:val="247C1688"/>
    <w:lvl w:ilvl="0" w:tplc="BF4414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30AA"/>
    <w:multiLevelType w:val="hybridMultilevel"/>
    <w:tmpl w:val="7F461DEC"/>
    <w:lvl w:ilvl="0" w:tplc="CE6452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805C4"/>
    <w:multiLevelType w:val="hybridMultilevel"/>
    <w:tmpl w:val="45620C46"/>
    <w:lvl w:ilvl="0" w:tplc="C4A4785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F599C"/>
    <w:multiLevelType w:val="hybridMultilevel"/>
    <w:tmpl w:val="AA120FE0"/>
    <w:lvl w:ilvl="0" w:tplc="DC8EBF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331FD"/>
    <w:multiLevelType w:val="hybridMultilevel"/>
    <w:tmpl w:val="11286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A3D42"/>
    <w:multiLevelType w:val="hybridMultilevel"/>
    <w:tmpl w:val="FCE6BAC8"/>
    <w:lvl w:ilvl="0" w:tplc="FE3017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A518B"/>
    <w:multiLevelType w:val="hybridMultilevel"/>
    <w:tmpl w:val="0F68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57346"/>
    <w:multiLevelType w:val="hybridMultilevel"/>
    <w:tmpl w:val="8EA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A1173"/>
    <w:multiLevelType w:val="hybridMultilevel"/>
    <w:tmpl w:val="A3E295EC"/>
    <w:lvl w:ilvl="0" w:tplc="F8BC0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8726A"/>
    <w:multiLevelType w:val="hybridMultilevel"/>
    <w:tmpl w:val="EC0AF1D0"/>
    <w:lvl w:ilvl="0" w:tplc="269EF1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13F50"/>
    <w:multiLevelType w:val="hybridMultilevel"/>
    <w:tmpl w:val="AEF8DA00"/>
    <w:lvl w:ilvl="0" w:tplc="5E868D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03AFE"/>
    <w:multiLevelType w:val="hybridMultilevel"/>
    <w:tmpl w:val="09B0285C"/>
    <w:lvl w:ilvl="0" w:tplc="33CA2B1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771F5"/>
    <w:multiLevelType w:val="hybridMultilevel"/>
    <w:tmpl w:val="A692D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0016A"/>
    <w:multiLevelType w:val="hybridMultilevel"/>
    <w:tmpl w:val="BCB88F96"/>
    <w:lvl w:ilvl="0" w:tplc="A2D8E8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36F6"/>
    <w:multiLevelType w:val="hybridMultilevel"/>
    <w:tmpl w:val="C0A05D98"/>
    <w:lvl w:ilvl="0" w:tplc="CB6A32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10D6B"/>
    <w:multiLevelType w:val="hybridMultilevel"/>
    <w:tmpl w:val="BD4CC3EE"/>
    <w:lvl w:ilvl="0" w:tplc="AA90C7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96B47"/>
    <w:multiLevelType w:val="hybridMultilevel"/>
    <w:tmpl w:val="C346117E"/>
    <w:lvl w:ilvl="0" w:tplc="BFC0E0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469DB"/>
    <w:multiLevelType w:val="hybridMultilevel"/>
    <w:tmpl w:val="0E0A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24D95"/>
    <w:multiLevelType w:val="hybridMultilevel"/>
    <w:tmpl w:val="59208CEA"/>
    <w:lvl w:ilvl="0" w:tplc="EF2ADB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D3A21"/>
    <w:multiLevelType w:val="hybridMultilevel"/>
    <w:tmpl w:val="41EED522"/>
    <w:lvl w:ilvl="0" w:tplc="7B04E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2B2E"/>
    <w:multiLevelType w:val="hybridMultilevel"/>
    <w:tmpl w:val="675C8FCC"/>
    <w:lvl w:ilvl="0" w:tplc="180E3F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E1CD6"/>
    <w:multiLevelType w:val="hybridMultilevel"/>
    <w:tmpl w:val="7384FAEC"/>
    <w:lvl w:ilvl="0" w:tplc="F9980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177BA"/>
    <w:multiLevelType w:val="hybridMultilevel"/>
    <w:tmpl w:val="24622CAA"/>
    <w:lvl w:ilvl="0" w:tplc="F5AEB1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9718F"/>
    <w:multiLevelType w:val="hybridMultilevel"/>
    <w:tmpl w:val="631EEE9E"/>
    <w:lvl w:ilvl="0" w:tplc="436617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25A3A"/>
    <w:multiLevelType w:val="hybridMultilevel"/>
    <w:tmpl w:val="8E8C1D4C"/>
    <w:lvl w:ilvl="0" w:tplc="41223F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006C9"/>
    <w:multiLevelType w:val="hybridMultilevel"/>
    <w:tmpl w:val="3834A27C"/>
    <w:lvl w:ilvl="0" w:tplc="76DC4B1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C7DC2"/>
    <w:multiLevelType w:val="hybridMultilevel"/>
    <w:tmpl w:val="5908F272"/>
    <w:lvl w:ilvl="0" w:tplc="6B5C10F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D39FE"/>
    <w:multiLevelType w:val="hybridMultilevel"/>
    <w:tmpl w:val="0554B092"/>
    <w:lvl w:ilvl="0" w:tplc="156E9FD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2305A"/>
    <w:multiLevelType w:val="hybridMultilevel"/>
    <w:tmpl w:val="E8A6AFE2"/>
    <w:lvl w:ilvl="0" w:tplc="3508C0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9779">
    <w:abstractNumId w:val="3"/>
  </w:num>
  <w:num w:numId="2" w16cid:durableId="36400235">
    <w:abstractNumId w:val="20"/>
  </w:num>
  <w:num w:numId="3" w16cid:durableId="411631623">
    <w:abstractNumId w:val="37"/>
  </w:num>
  <w:num w:numId="4" w16cid:durableId="1242594082">
    <w:abstractNumId w:val="33"/>
  </w:num>
  <w:num w:numId="5" w16cid:durableId="360668216">
    <w:abstractNumId w:val="8"/>
  </w:num>
  <w:num w:numId="6" w16cid:durableId="1119252730">
    <w:abstractNumId w:val="17"/>
  </w:num>
  <w:num w:numId="7" w16cid:durableId="1426994021">
    <w:abstractNumId w:val="30"/>
  </w:num>
  <w:num w:numId="8" w16cid:durableId="1198007907">
    <w:abstractNumId w:val="15"/>
  </w:num>
  <w:num w:numId="9" w16cid:durableId="1634486914">
    <w:abstractNumId w:val="35"/>
  </w:num>
  <w:num w:numId="10" w16cid:durableId="1098522674">
    <w:abstractNumId w:val="28"/>
  </w:num>
  <w:num w:numId="11" w16cid:durableId="1662661328">
    <w:abstractNumId w:val="27"/>
  </w:num>
  <w:num w:numId="12" w16cid:durableId="862018660">
    <w:abstractNumId w:val="22"/>
  </w:num>
  <w:num w:numId="13" w16cid:durableId="598566880">
    <w:abstractNumId w:val="31"/>
  </w:num>
  <w:num w:numId="14" w16cid:durableId="1628194871">
    <w:abstractNumId w:val="36"/>
  </w:num>
  <w:num w:numId="15" w16cid:durableId="811404567">
    <w:abstractNumId w:val="10"/>
  </w:num>
  <w:num w:numId="16" w16cid:durableId="172454935">
    <w:abstractNumId w:val="13"/>
  </w:num>
  <w:num w:numId="17" w16cid:durableId="613944466">
    <w:abstractNumId w:val="34"/>
  </w:num>
  <w:num w:numId="18" w16cid:durableId="1561864769">
    <w:abstractNumId w:val="38"/>
  </w:num>
  <w:num w:numId="19" w16cid:durableId="476650016">
    <w:abstractNumId w:val="7"/>
  </w:num>
  <w:num w:numId="20" w16cid:durableId="13651671">
    <w:abstractNumId w:val="14"/>
  </w:num>
  <w:num w:numId="21" w16cid:durableId="647973626">
    <w:abstractNumId w:val="39"/>
  </w:num>
  <w:num w:numId="22" w16cid:durableId="1474106092">
    <w:abstractNumId w:val="9"/>
  </w:num>
  <w:num w:numId="23" w16cid:durableId="1923368297">
    <w:abstractNumId w:val="0"/>
  </w:num>
  <w:num w:numId="24" w16cid:durableId="818229846">
    <w:abstractNumId w:val="25"/>
  </w:num>
  <w:num w:numId="25" w16cid:durableId="2027515705">
    <w:abstractNumId w:val="40"/>
  </w:num>
  <w:num w:numId="26" w16cid:durableId="2096631286">
    <w:abstractNumId w:val="1"/>
  </w:num>
  <w:num w:numId="27" w16cid:durableId="927343897">
    <w:abstractNumId w:val="26"/>
  </w:num>
  <w:num w:numId="28" w16cid:durableId="405306690">
    <w:abstractNumId w:val="21"/>
  </w:num>
  <w:num w:numId="29" w16cid:durableId="1989287890">
    <w:abstractNumId w:val="2"/>
  </w:num>
  <w:num w:numId="30" w16cid:durableId="855844319">
    <w:abstractNumId w:val="32"/>
  </w:num>
  <w:num w:numId="31" w16cid:durableId="443961489">
    <w:abstractNumId w:val="23"/>
  </w:num>
  <w:num w:numId="32" w16cid:durableId="1496342369">
    <w:abstractNumId w:val="4"/>
  </w:num>
  <w:num w:numId="33" w16cid:durableId="1315066538">
    <w:abstractNumId w:val="29"/>
  </w:num>
  <w:num w:numId="34" w16cid:durableId="967248549">
    <w:abstractNumId w:val="11"/>
  </w:num>
  <w:num w:numId="35" w16cid:durableId="224801843">
    <w:abstractNumId w:val="5"/>
  </w:num>
  <w:num w:numId="36" w16cid:durableId="1569146254">
    <w:abstractNumId w:val="6"/>
  </w:num>
  <w:num w:numId="37" w16cid:durableId="819423882">
    <w:abstractNumId w:val="18"/>
  </w:num>
  <w:num w:numId="38" w16cid:durableId="880943941">
    <w:abstractNumId w:val="12"/>
  </w:num>
  <w:num w:numId="39" w16cid:durableId="1783302192">
    <w:abstractNumId w:val="16"/>
  </w:num>
  <w:num w:numId="40" w16cid:durableId="1602952585">
    <w:abstractNumId w:val="19"/>
  </w:num>
  <w:num w:numId="41" w16cid:durableId="4278926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5"/>
    <w:rsid w:val="00001284"/>
    <w:rsid w:val="000123CA"/>
    <w:rsid w:val="0002082C"/>
    <w:rsid w:val="000363FF"/>
    <w:rsid w:val="0003679E"/>
    <w:rsid w:val="00036817"/>
    <w:rsid w:val="000475BC"/>
    <w:rsid w:val="00051125"/>
    <w:rsid w:val="00055562"/>
    <w:rsid w:val="0005795C"/>
    <w:rsid w:val="000731D1"/>
    <w:rsid w:val="00073524"/>
    <w:rsid w:val="000746C2"/>
    <w:rsid w:val="000A1027"/>
    <w:rsid w:val="000A3811"/>
    <w:rsid w:val="000B2BD9"/>
    <w:rsid w:val="000C7FAC"/>
    <w:rsid w:val="000D726E"/>
    <w:rsid w:val="000E4EF4"/>
    <w:rsid w:val="000F2C40"/>
    <w:rsid w:val="00102E9B"/>
    <w:rsid w:val="00137165"/>
    <w:rsid w:val="00141D0B"/>
    <w:rsid w:val="00155997"/>
    <w:rsid w:val="00163531"/>
    <w:rsid w:val="00173672"/>
    <w:rsid w:val="00180078"/>
    <w:rsid w:val="00187DFD"/>
    <w:rsid w:val="00190422"/>
    <w:rsid w:val="0019609C"/>
    <w:rsid w:val="00196B6F"/>
    <w:rsid w:val="001B0732"/>
    <w:rsid w:val="001B0C7E"/>
    <w:rsid w:val="001B138D"/>
    <w:rsid w:val="001F299E"/>
    <w:rsid w:val="0020118F"/>
    <w:rsid w:val="00204CDF"/>
    <w:rsid w:val="00207168"/>
    <w:rsid w:val="002100FB"/>
    <w:rsid w:val="002103EB"/>
    <w:rsid w:val="00225DBC"/>
    <w:rsid w:val="00226317"/>
    <w:rsid w:val="0022771C"/>
    <w:rsid w:val="00240A38"/>
    <w:rsid w:val="00244204"/>
    <w:rsid w:val="00252911"/>
    <w:rsid w:val="00255D01"/>
    <w:rsid w:val="00264E87"/>
    <w:rsid w:val="0026710F"/>
    <w:rsid w:val="00267834"/>
    <w:rsid w:val="00272528"/>
    <w:rsid w:val="0027479D"/>
    <w:rsid w:val="00283682"/>
    <w:rsid w:val="00286AD7"/>
    <w:rsid w:val="00290A39"/>
    <w:rsid w:val="002A5208"/>
    <w:rsid w:val="002A5321"/>
    <w:rsid w:val="002A7136"/>
    <w:rsid w:val="002B6EDB"/>
    <w:rsid w:val="002C43C4"/>
    <w:rsid w:val="002C6040"/>
    <w:rsid w:val="002E65F4"/>
    <w:rsid w:val="002F3A42"/>
    <w:rsid w:val="0030626C"/>
    <w:rsid w:val="003073B0"/>
    <w:rsid w:val="00314E63"/>
    <w:rsid w:val="00320F5C"/>
    <w:rsid w:val="003253F3"/>
    <w:rsid w:val="00332178"/>
    <w:rsid w:val="00332BE7"/>
    <w:rsid w:val="00332E5E"/>
    <w:rsid w:val="003548B1"/>
    <w:rsid w:val="00355C92"/>
    <w:rsid w:val="00361C47"/>
    <w:rsid w:val="00362E15"/>
    <w:rsid w:val="00370E8E"/>
    <w:rsid w:val="00376AD5"/>
    <w:rsid w:val="00382121"/>
    <w:rsid w:val="003A3345"/>
    <w:rsid w:val="003C77FD"/>
    <w:rsid w:val="003D34CB"/>
    <w:rsid w:val="004012AB"/>
    <w:rsid w:val="00404553"/>
    <w:rsid w:val="00410A40"/>
    <w:rsid w:val="00411219"/>
    <w:rsid w:val="0043158B"/>
    <w:rsid w:val="00446098"/>
    <w:rsid w:val="00446411"/>
    <w:rsid w:val="00473798"/>
    <w:rsid w:val="00475F68"/>
    <w:rsid w:val="004A02AE"/>
    <w:rsid w:val="004A2A08"/>
    <w:rsid w:val="004A5BA2"/>
    <w:rsid w:val="004B0BA4"/>
    <w:rsid w:val="004B2DC8"/>
    <w:rsid w:val="004B6FBF"/>
    <w:rsid w:val="004C29D4"/>
    <w:rsid w:val="004C49AF"/>
    <w:rsid w:val="004C6DBC"/>
    <w:rsid w:val="004D7ED3"/>
    <w:rsid w:val="00520BC3"/>
    <w:rsid w:val="00521F93"/>
    <w:rsid w:val="00533B44"/>
    <w:rsid w:val="00542449"/>
    <w:rsid w:val="00543388"/>
    <w:rsid w:val="00550165"/>
    <w:rsid w:val="00556D42"/>
    <w:rsid w:val="00560606"/>
    <w:rsid w:val="00577105"/>
    <w:rsid w:val="005A2619"/>
    <w:rsid w:val="005B40B0"/>
    <w:rsid w:val="005C1052"/>
    <w:rsid w:val="005C69E1"/>
    <w:rsid w:val="005D604A"/>
    <w:rsid w:val="005D780C"/>
    <w:rsid w:val="005E30E9"/>
    <w:rsid w:val="005E339C"/>
    <w:rsid w:val="005F56B3"/>
    <w:rsid w:val="006206E4"/>
    <w:rsid w:val="00627627"/>
    <w:rsid w:val="00633FD3"/>
    <w:rsid w:val="00670A77"/>
    <w:rsid w:val="006748DC"/>
    <w:rsid w:val="00676869"/>
    <w:rsid w:val="00685969"/>
    <w:rsid w:val="00691D75"/>
    <w:rsid w:val="00692E72"/>
    <w:rsid w:val="00693E60"/>
    <w:rsid w:val="006B6596"/>
    <w:rsid w:val="006D3189"/>
    <w:rsid w:val="006D4320"/>
    <w:rsid w:val="006D6E5A"/>
    <w:rsid w:val="006E5E82"/>
    <w:rsid w:val="006F5066"/>
    <w:rsid w:val="00704F7D"/>
    <w:rsid w:val="00712585"/>
    <w:rsid w:val="00732273"/>
    <w:rsid w:val="007519C2"/>
    <w:rsid w:val="00752727"/>
    <w:rsid w:val="007672C8"/>
    <w:rsid w:val="00770523"/>
    <w:rsid w:val="00771E2B"/>
    <w:rsid w:val="007A7F7F"/>
    <w:rsid w:val="007B2F2E"/>
    <w:rsid w:val="007B7B51"/>
    <w:rsid w:val="007D0D7C"/>
    <w:rsid w:val="007D1698"/>
    <w:rsid w:val="007D6422"/>
    <w:rsid w:val="007F1944"/>
    <w:rsid w:val="007F33D3"/>
    <w:rsid w:val="00804753"/>
    <w:rsid w:val="008063CE"/>
    <w:rsid w:val="008110C6"/>
    <w:rsid w:val="008170DA"/>
    <w:rsid w:val="0082245B"/>
    <w:rsid w:val="0082398D"/>
    <w:rsid w:val="00831AFE"/>
    <w:rsid w:val="00835DB3"/>
    <w:rsid w:val="00847604"/>
    <w:rsid w:val="00876F59"/>
    <w:rsid w:val="00891413"/>
    <w:rsid w:val="008A50CE"/>
    <w:rsid w:val="008A5E9C"/>
    <w:rsid w:val="008B2A21"/>
    <w:rsid w:val="008C1FDA"/>
    <w:rsid w:val="008C1FFA"/>
    <w:rsid w:val="008C5336"/>
    <w:rsid w:val="008C7464"/>
    <w:rsid w:val="008D141B"/>
    <w:rsid w:val="008D31C6"/>
    <w:rsid w:val="008D5996"/>
    <w:rsid w:val="009015EC"/>
    <w:rsid w:val="0090549C"/>
    <w:rsid w:val="00925B23"/>
    <w:rsid w:val="0093351F"/>
    <w:rsid w:val="00944A6C"/>
    <w:rsid w:val="00960F1C"/>
    <w:rsid w:val="0097364F"/>
    <w:rsid w:val="00973787"/>
    <w:rsid w:val="00982118"/>
    <w:rsid w:val="00986C06"/>
    <w:rsid w:val="00987E41"/>
    <w:rsid w:val="009A7203"/>
    <w:rsid w:val="009B183F"/>
    <w:rsid w:val="009C00B2"/>
    <w:rsid w:val="009C6131"/>
    <w:rsid w:val="009D28EC"/>
    <w:rsid w:val="009D570D"/>
    <w:rsid w:val="009E312E"/>
    <w:rsid w:val="009E3727"/>
    <w:rsid w:val="009E6A7E"/>
    <w:rsid w:val="009F0C77"/>
    <w:rsid w:val="009F2C9C"/>
    <w:rsid w:val="009F3D88"/>
    <w:rsid w:val="009F42CF"/>
    <w:rsid w:val="009F4E97"/>
    <w:rsid w:val="00A046AB"/>
    <w:rsid w:val="00A27B13"/>
    <w:rsid w:val="00A302CA"/>
    <w:rsid w:val="00A42D74"/>
    <w:rsid w:val="00A65E55"/>
    <w:rsid w:val="00A71741"/>
    <w:rsid w:val="00A74790"/>
    <w:rsid w:val="00A800FF"/>
    <w:rsid w:val="00A85F0A"/>
    <w:rsid w:val="00A92A7E"/>
    <w:rsid w:val="00A92C2F"/>
    <w:rsid w:val="00A940ED"/>
    <w:rsid w:val="00A957D1"/>
    <w:rsid w:val="00A96558"/>
    <w:rsid w:val="00AA3C1F"/>
    <w:rsid w:val="00AA4239"/>
    <w:rsid w:val="00AB010E"/>
    <w:rsid w:val="00AB508D"/>
    <w:rsid w:val="00AB535B"/>
    <w:rsid w:val="00AB6BAF"/>
    <w:rsid w:val="00AF30A0"/>
    <w:rsid w:val="00B01187"/>
    <w:rsid w:val="00B16293"/>
    <w:rsid w:val="00B3291A"/>
    <w:rsid w:val="00B37D83"/>
    <w:rsid w:val="00B43F09"/>
    <w:rsid w:val="00B44A0B"/>
    <w:rsid w:val="00B67231"/>
    <w:rsid w:val="00B70B65"/>
    <w:rsid w:val="00B9238B"/>
    <w:rsid w:val="00B9444C"/>
    <w:rsid w:val="00BA4CED"/>
    <w:rsid w:val="00BA6EB7"/>
    <w:rsid w:val="00BB1805"/>
    <w:rsid w:val="00BB32A2"/>
    <w:rsid w:val="00BD425C"/>
    <w:rsid w:val="00BD7ABC"/>
    <w:rsid w:val="00BE0931"/>
    <w:rsid w:val="00BE4648"/>
    <w:rsid w:val="00BF4C47"/>
    <w:rsid w:val="00C03D77"/>
    <w:rsid w:val="00C04382"/>
    <w:rsid w:val="00C07F86"/>
    <w:rsid w:val="00C1505E"/>
    <w:rsid w:val="00C15DFB"/>
    <w:rsid w:val="00C2250F"/>
    <w:rsid w:val="00C24D6C"/>
    <w:rsid w:val="00C24D99"/>
    <w:rsid w:val="00C26151"/>
    <w:rsid w:val="00C4429B"/>
    <w:rsid w:val="00C52785"/>
    <w:rsid w:val="00C726A3"/>
    <w:rsid w:val="00C76D8A"/>
    <w:rsid w:val="00C80831"/>
    <w:rsid w:val="00C85903"/>
    <w:rsid w:val="00C87F41"/>
    <w:rsid w:val="00C90ABF"/>
    <w:rsid w:val="00C96237"/>
    <w:rsid w:val="00CA24AB"/>
    <w:rsid w:val="00CA6A7F"/>
    <w:rsid w:val="00CA7845"/>
    <w:rsid w:val="00CC6347"/>
    <w:rsid w:val="00CE5FC3"/>
    <w:rsid w:val="00CF3283"/>
    <w:rsid w:val="00CF6C27"/>
    <w:rsid w:val="00D02A59"/>
    <w:rsid w:val="00D05C94"/>
    <w:rsid w:val="00D05E34"/>
    <w:rsid w:val="00D12479"/>
    <w:rsid w:val="00D13ECE"/>
    <w:rsid w:val="00D16768"/>
    <w:rsid w:val="00D20E72"/>
    <w:rsid w:val="00D25721"/>
    <w:rsid w:val="00D2608D"/>
    <w:rsid w:val="00D277A0"/>
    <w:rsid w:val="00D61A1A"/>
    <w:rsid w:val="00D66490"/>
    <w:rsid w:val="00D74E2C"/>
    <w:rsid w:val="00D874F6"/>
    <w:rsid w:val="00D91550"/>
    <w:rsid w:val="00D960BA"/>
    <w:rsid w:val="00DC3065"/>
    <w:rsid w:val="00DE5EFD"/>
    <w:rsid w:val="00DF4865"/>
    <w:rsid w:val="00DF5653"/>
    <w:rsid w:val="00E125B7"/>
    <w:rsid w:val="00E331ED"/>
    <w:rsid w:val="00E367AA"/>
    <w:rsid w:val="00E50C2A"/>
    <w:rsid w:val="00E63D5C"/>
    <w:rsid w:val="00E73EDB"/>
    <w:rsid w:val="00E76965"/>
    <w:rsid w:val="00E810BE"/>
    <w:rsid w:val="00E96719"/>
    <w:rsid w:val="00EA018E"/>
    <w:rsid w:val="00EA0190"/>
    <w:rsid w:val="00EA5D3D"/>
    <w:rsid w:val="00EA6AE5"/>
    <w:rsid w:val="00EE040A"/>
    <w:rsid w:val="00EF357F"/>
    <w:rsid w:val="00EF4997"/>
    <w:rsid w:val="00F0088B"/>
    <w:rsid w:val="00F03132"/>
    <w:rsid w:val="00F10BF3"/>
    <w:rsid w:val="00F23C2C"/>
    <w:rsid w:val="00F37913"/>
    <w:rsid w:val="00F40985"/>
    <w:rsid w:val="00F45B87"/>
    <w:rsid w:val="00F52665"/>
    <w:rsid w:val="00F5291E"/>
    <w:rsid w:val="00F54C0B"/>
    <w:rsid w:val="00FC0AF8"/>
    <w:rsid w:val="00FC4C09"/>
    <w:rsid w:val="00FD4D0E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31956298"/>
  <w15:chartTrackingRefBased/>
  <w15:docId w15:val="{702F5438-6616-4E9B-A381-36EA8FCA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3F"/>
  </w:style>
  <w:style w:type="paragraph" w:styleId="Heading1">
    <w:name w:val="heading 1"/>
    <w:basedOn w:val="Normal"/>
    <w:next w:val="Normal"/>
    <w:link w:val="Heading1Char"/>
    <w:uiPriority w:val="9"/>
    <w:qFormat/>
    <w:rsid w:val="009B183F"/>
    <w:pPr>
      <w:keepNext/>
      <w:keepLines/>
      <w:spacing w:before="240" w:line="280" w:lineRule="exact"/>
      <w:outlineLvl w:val="0"/>
    </w:pPr>
    <w:rPr>
      <w:rFonts w:asciiTheme="majorHAnsi" w:eastAsiaTheme="majorEastAsia" w:hAnsiTheme="majorHAnsi" w:cstheme="majorBidi"/>
      <w:b/>
      <w:bCs/>
      <w:color w:val="576A7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10BF3"/>
    <w:pPr>
      <w:pBdr>
        <w:bottom w:val="single" w:sz="8" w:space="4" w:color="95C43D" w:themeColor="accent1"/>
      </w:pBdr>
      <w:spacing w:after="300"/>
      <w:contextualSpacing/>
    </w:pPr>
    <w:rPr>
      <w:rFonts w:asciiTheme="majorHAnsi" w:eastAsiaTheme="majorEastAsia" w:hAnsiTheme="majorHAnsi" w:cstheme="majorBidi"/>
      <w:color w:val="414F5A" w:themeColor="text2" w:themeShade="BF"/>
      <w:spacing w:val="5"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0BF3"/>
    <w:rPr>
      <w:rFonts w:asciiTheme="majorHAnsi" w:eastAsiaTheme="majorEastAsia" w:hAnsiTheme="majorHAnsi" w:cstheme="majorBidi"/>
      <w:color w:val="414F5A" w:themeColor="text2" w:themeShade="BF"/>
      <w:spacing w:val="5"/>
      <w:kern w:val="28"/>
      <w:sz w:val="22"/>
      <w:szCs w:val="52"/>
    </w:rPr>
  </w:style>
  <w:style w:type="paragraph" w:customStyle="1" w:styleId="Body">
    <w:name w:val="Body"/>
    <w:qFormat/>
    <w:rsid w:val="009B183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31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00" w:line="280" w:lineRule="exact"/>
    </w:pPr>
    <w:rPr>
      <w:rFonts w:ascii="Arial" w:hAnsi="Arial" w:cs="Helvetica"/>
      <w:color w:val="576A79" w:themeColor="text1"/>
      <w:sz w:val="22"/>
    </w:rPr>
  </w:style>
  <w:style w:type="paragraph" w:customStyle="1" w:styleId="LeadinAddress">
    <w:name w:val="Lead in Address"/>
    <w:basedOn w:val="Normal"/>
    <w:qFormat/>
    <w:rsid w:val="009B183F"/>
    <w:rPr>
      <w:color w:val="576A79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183F"/>
    <w:rPr>
      <w:rFonts w:asciiTheme="majorHAnsi" w:eastAsiaTheme="majorEastAsia" w:hAnsiTheme="majorHAnsi" w:cstheme="majorBidi"/>
      <w:b/>
      <w:bCs/>
      <w:color w:val="576A79"/>
      <w:sz w:val="28"/>
      <w:szCs w:val="32"/>
    </w:rPr>
  </w:style>
  <w:style w:type="paragraph" w:customStyle="1" w:styleId="SidebarAddess">
    <w:name w:val="Sidebar Addess"/>
    <w:basedOn w:val="Normal"/>
    <w:qFormat/>
    <w:rsid w:val="009B183F"/>
    <w:pPr>
      <w:widowControl w:val="0"/>
      <w:autoSpaceDE w:val="0"/>
      <w:autoSpaceDN w:val="0"/>
      <w:adjustRightInd w:val="0"/>
    </w:pPr>
    <w:rPr>
      <w:rFonts w:ascii="Arial" w:hAnsi="Arial" w:cs="Arial"/>
      <w:color w:val="576A7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18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83F"/>
  </w:style>
  <w:style w:type="paragraph" w:styleId="Footer">
    <w:name w:val="footer"/>
    <w:basedOn w:val="Normal"/>
    <w:link w:val="FooterChar"/>
    <w:uiPriority w:val="99"/>
    <w:unhideWhenUsed/>
    <w:rsid w:val="009B18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83F"/>
  </w:style>
  <w:style w:type="character" w:styleId="PageNumber">
    <w:name w:val="page number"/>
    <w:basedOn w:val="DefaultParagraphFont"/>
    <w:uiPriority w:val="99"/>
    <w:semiHidden/>
    <w:unhideWhenUsed/>
    <w:rsid w:val="00264E87"/>
  </w:style>
  <w:style w:type="table" w:styleId="TableGrid">
    <w:name w:val="Table Grid"/>
    <w:basedOn w:val="TableNormal"/>
    <w:uiPriority w:val="59"/>
    <w:rsid w:val="0069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74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F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D874F6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D874F6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D874F6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1B0C7E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1B0C7E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1B0C7E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290A39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31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71C"/>
    <w:rPr>
      <w:rFonts w:ascii="Arial" w:hAnsi="Arial"/>
      <w:color w:val="576A79" w:themeColor="text1"/>
      <w:vertAlign w:val="superscript"/>
    </w:rPr>
  </w:style>
  <w:style w:type="paragraph" w:customStyle="1" w:styleId="FootnoteSeperator">
    <w:name w:val="Footnote Seperator"/>
    <w:basedOn w:val="Normal"/>
    <w:qFormat/>
    <w:rsid w:val="00E331ED"/>
    <w:rPr>
      <w:color w:val="F99A32" w:themeColor="accent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31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31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73B0"/>
    <w:rPr>
      <w:color w:val="576A79" w:themeColor="text1"/>
      <w:vertAlign w:val="superscript"/>
    </w:rPr>
  </w:style>
  <w:style w:type="paragraph" w:styleId="ListParagraph">
    <w:name w:val="List Paragraph"/>
    <w:basedOn w:val="Normal"/>
    <w:uiPriority w:val="34"/>
    <w:qFormat/>
    <w:rsid w:val="00521F93"/>
    <w:pPr>
      <w:ind w:left="720"/>
      <w:contextualSpacing/>
    </w:pPr>
  </w:style>
  <w:style w:type="character" w:customStyle="1" w:styleId="markedcontent">
    <w:name w:val="markedcontent"/>
    <w:basedOn w:val="DefaultParagraphFont"/>
    <w:rsid w:val="00EA6AE5"/>
  </w:style>
  <w:style w:type="paragraph" w:styleId="Revision">
    <w:name w:val="Revision"/>
    <w:hidden/>
    <w:uiPriority w:val="99"/>
    <w:semiHidden/>
    <w:rsid w:val="00F5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VK">
      <a:dk1>
        <a:srgbClr val="576A79"/>
      </a:dk1>
      <a:lt1>
        <a:sysClr val="window" lastClr="FFFFFF"/>
      </a:lt1>
      <a:dk2>
        <a:srgbClr val="576A79"/>
      </a:dk2>
      <a:lt2>
        <a:srgbClr val="FFFFFF"/>
      </a:lt2>
      <a:accent1>
        <a:srgbClr val="95C43D"/>
      </a:accent1>
      <a:accent2>
        <a:srgbClr val="00AEEF"/>
      </a:accent2>
      <a:accent3>
        <a:srgbClr val="FFDD3C"/>
      </a:accent3>
      <a:accent4>
        <a:srgbClr val="F99A32"/>
      </a:accent4>
      <a:accent5>
        <a:srgbClr val="766953"/>
      </a:accent5>
      <a:accent6>
        <a:srgbClr val="BFBFBF"/>
      </a:accent6>
      <a:hlink>
        <a:srgbClr val="00AEEF"/>
      </a:hlink>
      <a:folHlink>
        <a:srgbClr val="7DD4D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DC0AAD5373242879400A61CC89EEE" ma:contentTypeVersion="1" ma:contentTypeDescription="Create a new document." ma:contentTypeScope="" ma:versionID="50e4afc12c93cf1de5b0b954b664160e">
  <xsd:schema xmlns:xsd="http://www.w3.org/2001/XMLSchema" xmlns:xs="http://www.w3.org/2001/XMLSchema" xmlns:p="http://schemas.microsoft.com/office/2006/metadata/properties" xmlns:ns2="af532cdf-ad03-4ad0-b84e-a5db302abdb1" targetNamespace="http://schemas.microsoft.com/office/2006/metadata/properties" ma:root="true" ma:fieldsID="8ab7f922ec8188f2152beb4dbc213214" ns2:_="">
    <xsd:import namespace="af532cdf-ad03-4ad0-b84e-a5db302abd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32cdf-ad03-4ad0-b84e-a5db302abd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532cdf-ad03-4ad0-b84e-a5db302abdb1">D6SDZK4DKPFE-9-41</_dlc_DocId>
    <_dlc_DocIdUrl xmlns="af532cdf-ad03-4ad0-b84e-a5db302abdb1">
      <Url>http://pdxsharepoint/_layouts/DocIdRedir.aspx?ID=D6SDZK4DKPFE-9-41</Url>
      <Description>D6SDZK4DKPFE-9-41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9D440-6AF5-4E83-B840-A9E67BE8B0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385BD6-B08E-418F-9145-2B275BB9F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5C0B2-8894-4304-9B47-B4484AF32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32cdf-ad03-4ad0-b84e-a5db302ab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B81F6-C119-4067-8E21-BC7907667B73}">
  <ds:schemaRefs>
    <ds:schemaRef ds:uri="http://schemas.microsoft.com/office/2006/metadata/properties"/>
    <ds:schemaRef ds:uri="http://schemas.microsoft.com/office/infopath/2007/PartnerControls"/>
    <ds:schemaRef ds:uri="af532cdf-ad03-4ad0-b84e-a5db302abdb1"/>
  </ds:schemaRefs>
</ds:datastoreItem>
</file>

<file path=customXml/itemProps5.xml><?xml version="1.0" encoding="utf-8"?>
<ds:datastoreItem xmlns:ds="http://schemas.openxmlformats.org/officeDocument/2006/customXml" ds:itemID="{01E7FB5E-5D20-4A4D-8149-4BA12F2A6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RVK, Inc.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Birman</dc:creator>
  <cp:keywords/>
  <dc:description/>
  <cp:lastModifiedBy>Aaron Birman</cp:lastModifiedBy>
  <cp:revision>3</cp:revision>
  <dcterms:created xsi:type="dcterms:W3CDTF">2023-07-18T15:54:00Z</dcterms:created>
  <dcterms:modified xsi:type="dcterms:W3CDTF">2023-07-18T15:55:00Z</dcterms:modified>
</cp:coreProperties>
</file>